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安徽赛诺制药有限公司土地及地上建筑物抵押价值评估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50106B8"/>
    <w:rsid w:val="093D6573"/>
    <w:rsid w:val="11D524C4"/>
    <w:rsid w:val="1BC34983"/>
    <w:rsid w:val="2CA53304"/>
    <w:rsid w:val="2CB359E4"/>
    <w:rsid w:val="2F6D2F32"/>
    <w:rsid w:val="359339D6"/>
    <w:rsid w:val="3A156379"/>
    <w:rsid w:val="3E2B0701"/>
    <w:rsid w:val="487D5D3F"/>
    <w:rsid w:val="5CC93D27"/>
    <w:rsid w:val="5CF24644"/>
    <w:rsid w:val="69361257"/>
    <w:rsid w:val="6C5C5007"/>
    <w:rsid w:val="72101EC8"/>
    <w:rsid w:val="735776CF"/>
    <w:rsid w:val="763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0</Lines>
  <Paragraphs>0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2023-07-12T00:05:21Z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0240517FF416470588D363AF017521AF_13</vt:lpwstr>
  </property>
</Properties>
</file>