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宿州经开区南二环、金环路道路维修项目</w:t>
      </w:r>
    </w:p>
    <w:p>
      <w:pPr>
        <w:spacing w:line="540" w:lineRule="exact"/>
        <w:ind w:left="3080" w:hanging="3082" w:hangingChars="700"/>
        <w:jc w:val="center"/>
        <w:rPr>
          <w:rFonts w:ascii="方正黑体_GBK" w:hAnsi="方正黑体_GBK" w:eastAsia="方正黑体_GBK" w:cs="方正黑体_GBK"/>
          <w:color w:val="000000"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报价单</w:t>
      </w:r>
    </w:p>
    <w:p>
      <w:pPr>
        <w:jc w:val="both"/>
      </w:pPr>
    </w:p>
    <w:tbl>
      <w:tblPr>
        <w:tblStyle w:val="5"/>
        <w:tblpPr w:leftFromText="180" w:rightFromText="180" w:vertAnchor="text" w:horzAnchor="page" w:tblpX="1693" w:tblpY="66"/>
        <w:tblOverlap w:val="never"/>
        <w:tblW w:w="781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"/>
        <w:gridCol w:w="2662"/>
        <w:gridCol w:w="2178"/>
        <w:gridCol w:w="20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88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3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32"/>
                <w:szCs w:val="32"/>
              </w:rPr>
              <w:t>序号</w:t>
            </w:r>
          </w:p>
        </w:tc>
        <w:tc>
          <w:tcPr>
            <w:tcW w:w="2662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32"/>
                <w:szCs w:val="2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32"/>
                <w:szCs w:val="22"/>
                <w:lang w:eastAsia="zh-CN"/>
              </w:rPr>
              <w:t>工期</w:t>
            </w:r>
          </w:p>
        </w:tc>
        <w:tc>
          <w:tcPr>
            <w:tcW w:w="2178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3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32"/>
                <w:szCs w:val="32"/>
              </w:rPr>
              <w:t>报价</w:t>
            </w:r>
          </w:p>
        </w:tc>
        <w:tc>
          <w:tcPr>
            <w:tcW w:w="2087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3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0" w:hRule="atLeast"/>
        </w:trPr>
        <w:tc>
          <w:tcPr>
            <w:tcW w:w="885" w:type="dxa"/>
            <w:vAlign w:val="center"/>
          </w:tcPr>
          <w:p>
            <w:pPr>
              <w:jc w:val="center"/>
              <w:rPr>
                <w:rFonts w:ascii="宋体" w:hAnsi="宋体" w:cs="方正仿宋_GBK"/>
                <w:kern w:val="0"/>
                <w:sz w:val="24"/>
                <w:szCs w:val="20"/>
              </w:rPr>
            </w:pPr>
            <w:r>
              <w:rPr>
                <w:rFonts w:hint="eastAsia" w:ascii="宋体" w:hAnsi="宋体" w:cs="方正仿宋_GBK"/>
                <w:kern w:val="0"/>
                <w:sz w:val="24"/>
                <w:szCs w:val="24"/>
              </w:rPr>
              <w:t>1</w:t>
            </w:r>
          </w:p>
        </w:tc>
        <w:tc>
          <w:tcPr>
            <w:tcW w:w="2662" w:type="dxa"/>
            <w:vAlign w:val="center"/>
          </w:tcPr>
          <w:p>
            <w:pPr>
              <w:jc w:val="center"/>
              <w:rPr>
                <w:rFonts w:ascii="宋体" w:hAns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2178" w:type="dxa"/>
            <w:vAlign w:val="center"/>
          </w:tcPr>
          <w:p>
            <w:pPr>
              <w:jc w:val="center"/>
              <w:rPr>
                <w:rFonts w:ascii="宋体" w:hAns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2087" w:type="dxa"/>
            <w:vAlign w:val="center"/>
          </w:tcPr>
          <w:p>
            <w:pPr>
              <w:jc w:val="center"/>
              <w:rPr>
                <w:rFonts w:ascii="宋体" w:hAnsi="宋体" w:cs="方正仿宋_GBK"/>
                <w:kern w:val="0"/>
                <w:sz w:val="24"/>
                <w:szCs w:val="20"/>
              </w:rPr>
            </w:pPr>
          </w:p>
        </w:tc>
      </w:tr>
    </w:tbl>
    <w:p/>
    <w:p>
      <w:pPr>
        <w:ind w:firstLine="5040" w:firstLineChars="2100"/>
        <w:rPr>
          <w:rFonts w:hint="eastAsia"/>
          <w:sz w:val="24"/>
          <w:szCs w:val="28"/>
          <w:lang w:eastAsia="zh-CN"/>
        </w:rPr>
      </w:pPr>
    </w:p>
    <w:p>
      <w:pPr>
        <w:ind w:firstLine="5040" w:firstLineChars="2100"/>
        <w:rPr>
          <w:rFonts w:hint="eastAsia"/>
          <w:sz w:val="24"/>
          <w:szCs w:val="28"/>
          <w:lang w:eastAsia="zh-CN"/>
        </w:rPr>
      </w:pPr>
    </w:p>
    <w:p>
      <w:pPr>
        <w:rPr>
          <w:rFonts w:hint="eastAsia"/>
          <w:sz w:val="24"/>
          <w:szCs w:val="28"/>
        </w:rPr>
      </w:pPr>
    </w:p>
    <w:p>
      <w:pPr>
        <w:ind w:firstLine="4800" w:firstLineChars="2000"/>
        <w:rPr>
          <w:rFonts w:hint="eastAsia"/>
          <w:sz w:val="24"/>
          <w:szCs w:val="28"/>
        </w:rPr>
      </w:pPr>
    </w:p>
    <w:p>
      <w:pPr>
        <w:ind w:firstLine="4500" w:firstLineChars="1500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投标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 xml:space="preserve">单位： （公章）   </w:t>
      </w:r>
    </w:p>
    <w:p>
      <w:pP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</w:pPr>
    </w:p>
    <w:p>
      <w:pPr>
        <w:ind w:firstLine="4200" w:firstLineChars="1400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法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定代表人签字或盖章：</w:t>
      </w:r>
    </w:p>
    <w:p>
      <w:pPr>
        <w:ind w:firstLine="6000" w:firstLineChars="2000"/>
        <w:rPr>
          <w:rFonts w:hint="eastAsia" w:ascii="方正仿宋_GBK" w:hAnsi="方正仿宋_GBK" w:eastAsia="方正仿宋_GBK" w:cs="方正仿宋_GBK"/>
          <w:sz w:val="30"/>
          <w:szCs w:val="30"/>
        </w:rPr>
      </w:pPr>
    </w:p>
    <w:p>
      <w:pPr>
        <w:rPr>
          <w:rFonts w:hint="eastAsia" w:ascii="方正仿宋_GBK" w:hAnsi="方正仿宋_GBK" w:eastAsia="方正仿宋_GBK" w:cs="方正仿宋_GBK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注：</w:t>
      </w:r>
    </w:p>
    <w:p>
      <w:pPr>
        <w:rPr>
          <w:rFonts w:hint="eastAsia" w:ascii="方正仿宋_GBK" w:hAnsi="方正仿宋_GBK" w:eastAsia="方正仿宋_GBK" w:cs="方正仿宋_GBK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1、各投标单位可以就上述标项进行应标，本表不得自制。</w:t>
      </w:r>
    </w:p>
    <w:p>
      <w:pPr>
        <w:numPr>
          <w:ilvl w:val="0"/>
          <w:numId w:val="1"/>
        </w:numPr>
        <w:rPr>
          <w:rFonts w:hint="eastAsia" w:ascii="方正仿宋_GBK" w:hAnsi="方正仿宋_GBK" w:eastAsia="方正仿宋_GBK" w:cs="方正仿宋_GBK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各投标单位自行探勘现场，综合考虑现场环境，费用不作调整。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方正仿宋_GBK" w:hAnsi="方正仿宋_GBK" w:eastAsia="方正仿宋_GBK" w:cs="方正仿宋_GBK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因施工造成的原有设施损坏，各投标单位进行修复。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方正仿宋_GBK" w:hAnsi="方正仿宋_GBK" w:eastAsia="方正仿宋_GBK" w:cs="方正仿宋_GBK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修复范围：南二环与金环路交口沥青路面内部裂缝非开挖注浆修补五处；金环路砼路面修补，长约430米、宽度约14米（南二环--金江路）。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方正仿宋_GBK" w:hAnsi="方正仿宋_GBK" w:eastAsia="方正仿宋_GBK" w:cs="方正仿宋_GBK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各投标单位应合理组织交通分流，安全、文明施工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。</w:t>
      </w:r>
    </w:p>
    <w:p>
      <w:pPr>
        <w:numPr>
          <w:numId w:val="0"/>
        </w:numPr>
        <w:ind w:leftChars="0"/>
        <w:rPr>
          <w:rFonts w:hint="eastAsia" w:ascii="方正仿宋_GBK" w:hAnsi="方正仿宋_GBK" w:eastAsia="方正仿宋_GBK" w:cs="方正仿宋_GBK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28114B"/>
    <w:multiLevelType w:val="singleLevel"/>
    <w:tmpl w:val="FF28114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620A"/>
    <w:rsid w:val="00057BAE"/>
    <w:rsid w:val="00314F7B"/>
    <w:rsid w:val="004A508D"/>
    <w:rsid w:val="006571F0"/>
    <w:rsid w:val="00674875"/>
    <w:rsid w:val="006E448F"/>
    <w:rsid w:val="007C18DC"/>
    <w:rsid w:val="007F4223"/>
    <w:rsid w:val="00A130F8"/>
    <w:rsid w:val="00A214EC"/>
    <w:rsid w:val="00AA739F"/>
    <w:rsid w:val="00BD3A98"/>
    <w:rsid w:val="00C9620A"/>
    <w:rsid w:val="04D62CAB"/>
    <w:rsid w:val="215D7573"/>
    <w:rsid w:val="3B5F2D6F"/>
    <w:rsid w:val="55E70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</w:rPr>
  </w:style>
  <w:style w:type="character" w:customStyle="1" w:styleId="10">
    <w:name w:val="font21"/>
    <w:basedOn w:val="6"/>
    <w:uiPriority w:val="0"/>
    <w:rPr>
      <w:rFonts w:ascii="Arial" w:hAnsi="Arial" w:cs="Arial"/>
      <w:color w:val="000000"/>
      <w:sz w:val="22"/>
      <w:szCs w:val="22"/>
      <w:u w:val="none"/>
    </w:rPr>
  </w:style>
  <w:style w:type="character" w:customStyle="1" w:styleId="11">
    <w:name w:val="font11"/>
    <w:basedOn w:val="6"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112</Words>
  <Characters>643</Characters>
  <Lines>5</Lines>
  <Paragraphs>1</Paragraphs>
  <TotalTime>2</TotalTime>
  <ScaleCrop>false</ScaleCrop>
  <LinksUpToDate>false</LinksUpToDate>
  <CharactersWithSpaces>754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2021-04-21T01:29:00Z</dcterms:created>
  <dc:creator>52322</dc:creator>
  <cp:lastModifiedBy>IF</cp:lastModifiedBy>
  <dcterms:modified xsi:type="dcterms:W3CDTF">2021-11-18T08:50:48Z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D92815C27875465BACA913004FA11037</vt:lpwstr>
  </property>
  <property fmtid="{D5CDD505-2E9C-101B-9397-08002B2CF9AE}" pid="4" name="KSOSaveFontToCloudKey">
    <vt:lpwstr>783236191_btnclosed</vt:lpwstr>
  </property>
</Properties>
</file>